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aroma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34159" w:rsidP="00E3415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noProof/>
                <w:sz w:val="44"/>
              </w:rPr>
              <w:t>A smell or o</w:t>
            </w:r>
            <w:bookmarkStart w:id="0" w:name="_GoBack"/>
            <w:bookmarkEnd w:id="0"/>
            <w:r w:rsidR="00EF26CA" w:rsidRPr="008D6040">
              <w:rPr>
                <w:rFonts w:ascii="Comic Sans MS" w:hAnsi="Comic Sans MS"/>
                <w:noProof/>
                <w:sz w:val="44"/>
              </w:rPr>
              <w:t>d</w:t>
            </w:r>
            <w:r>
              <w:rPr>
                <w:rFonts w:ascii="Comic Sans MS" w:hAnsi="Comic Sans MS"/>
                <w:noProof/>
                <w:sz w:val="44"/>
              </w:rPr>
              <w:t>o</w:t>
            </w:r>
            <w:r w:rsidR="00EF26CA" w:rsidRPr="008D6040">
              <w:rPr>
                <w:rFonts w:ascii="Comic Sans MS" w:hAnsi="Comic Sans MS"/>
                <w:noProof/>
                <w:sz w:val="44"/>
              </w:rPr>
              <w:t>r, especially a pleasant one.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beverage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A liquid used as a drink.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bland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Lacking a strong flavor.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bland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Not irritating, exciting, or disturbing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brittle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Easily broken; not flexible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cluster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A number of similar things grouped together.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cluster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gather or come together in a group.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combine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join or bring together.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combination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A joining or bringing together.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consume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use up.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consume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eat or drink.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consume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do away with or destroy.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crave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have a strong desire for.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craving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A strong desire.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cultivate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prepare land for the growing crops.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cultivate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grow to help to grow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equivalent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Equal to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export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send goods to another country for sale.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extract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remove or take out.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introduce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cause to know; to make known by name.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introduce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bring to the attention of, especially for the first time.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introduce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bring into use.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introduction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Something spoken or written before the main part.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introduction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The act of being made known by name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purchase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verb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To buy.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purchase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Something that is bought.</w:t>
            </w: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purchase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noun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The act of buying.</w:t>
            </w: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t>tropical</w:t>
            </w: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Of, form, or similar to the regions near the equator.</w:t>
            </w: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56"/>
              </w:rPr>
            </w:pPr>
            <w:r w:rsidRPr="008D6040">
              <w:rPr>
                <w:rFonts w:ascii="Comic Sans MS" w:hAnsi="Comic Sans MS"/>
                <w:noProof/>
                <w:sz w:val="56"/>
              </w:rPr>
              <w:lastRenderedPageBreak/>
              <w:t>tropical</w:t>
            </w: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</w:rPr>
            </w:pPr>
          </w:p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  <w:r w:rsidRPr="008D6040">
              <w:rPr>
                <w:rFonts w:ascii="Comic Sans MS" w:hAnsi="Comic Sans MS"/>
                <w:i/>
                <w:noProof/>
              </w:rPr>
              <w:t>adjective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  <w:r w:rsidRPr="008D6040">
              <w:rPr>
                <w:rFonts w:ascii="Comic Sans MS" w:hAnsi="Comic Sans MS"/>
                <w:noProof/>
                <w:sz w:val="44"/>
              </w:rPr>
              <w:t>Hot and moist.</w:t>
            </w: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4338"/>
        <w:gridCol w:w="450"/>
        <w:gridCol w:w="6228"/>
      </w:tblGrid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082645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F26CA" w:rsidRPr="00082645" w:rsidTr="00A97001">
        <w:trPr>
          <w:trHeight w:val="2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F26CA" w:rsidRPr="00082645" w:rsidTr="00A97001">
        <w:trPr>
          <w:trHeight w:val="33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tcBorders>
              <w:bottom w:val="single" w:sz="48" w:space="0" w:color="00B050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EF26CA" w:rsidRPr="00082645" w:rsidTr="00A97001">
        <w:trPr>
          <w:trHeight w:val="60"/>
        </w:trPr>
        <w:tc>
          <w:tcPr>
            <w:tcW w:w="433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26CA" w:rsidRPr="00082645" w:rsidTr="00A97001">
        <w:trPr>
          <w:trHeight w:val="3024"/>
        </w:trPr>
        <w:tc>
          <w:tcPr>
            <w:tcW w:w="433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228" w:type="dxa"/>
            <w:vAlign w:val="center"/>
          </w:tcPr>
          <w:p w:rsidR="00EF26CA" w:rsidRPr="008B5B44" w:rsidRDefault="00EF26CA" w:rsidP="00E24394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EF26CA" w:rsidRDefault="00EF26CA">
      <w:pPr>
        <w:sectPr w:rsidR="00EF26CA" w:rsidSect="00EF26C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EF26CA" w:rsidRDefault="00EF26CA"/>
    <w:sectPr w:rsidR="00EF26CA" w:rsidSect="00EF26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5"/>
    <w:rsid w:val="00064750"/>
    <w:rsid w:val="00082645"/>
    <w:rsid w:val="0076358A"/>
    <w:rsid w:val="008B5B44"/>
    <w:rsid w:val="00A97001"/>
    <w:rsid w:val="00E34159"/>
    <w:rsid w:val="00EB0D24"/>
    <w:rsid w:val="00E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A115-761B-46E9-B613-F4E8F87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2018-09-21T16:45:00Z</dcterms:created>
  <dcterms:modified xsi:type="dcterms:W3CDTF">2018-09-21T18:40:00Z</dcterms:modified>
</cp:coreProperties>
</file>